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1B" w:rsidRPr="005E411B" w:rsidRDefault="005E411B" w:rsidP="005E41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24242"/>
          <w:sz w:val="36"/>
          <w:szCs w:val="36"/>
          <w:lang w:eastAsia="ru-RU"/>
        </w:rPr>
      </w:pPr>
      <w:r w:rsidRPr="005E411B">
        <w:rPr>
          <w:rFonts w:ascii="Arial" w:eastAsia="Times New Roman" w:hAnsi="Arial" w:cs="Arial"/>
          <w:b/>
          <w:bCs/>
          <w:noProof/>
          <w:color w:val="424242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230B66F4" wp14:editId="077975B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800100"/>
            <wp:effectExtent l="0" t="0" r="9525" b="0"/>
            <wp:wrapSquare wrapText="bothSides"/>
            <wp:docPr id="1" name="Рисунок 1" descr="http://zadvizhka.by/wp-content/uploads/17%D1%816%D0%BD%D0%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dvizhka.by/wp-content/uploads/17%D1%816%D0%BD%D0%B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11B">
        <w:rPr>
          <w:rFonts w:ascii="Arial" w:eastAsia="Times New Roman" w:hAnsi="Arial" w:cs="Arial"/>
          <w:b/>
          <w:bCs/>
          <w:color w:val="424242"/>
          <w:sz w:val="36"/>
          <w:szCs w:val="36"/>
          <w:lang w:eastAsia="ru-RU"/>
        </w:rPr>
        <w:t>Клапан предохранительный 17с6нж</w:t>
      </w:r>
    </w:p>
    <w:p w:rsidR="005E411B" w:rsidRPr="005E411B" w:rsidRDefault="005E411B" w:rsidP="005E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Материал корпуса: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сталь 20Л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Материал уплотнения: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нержавеющая сталь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Тип присоединения: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фланцевое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Среда: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жидкие и газообразные химические и нефтяные среды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Температура: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+450</w:t>
      </w:r>
      <w:proofErr w:type="gramStart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°С</w:t>
      </w:r>
      <w:proofErr w:type="gramEnd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Условное давление: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16 кгс/см</w:t>
      </w:r>
      <w:r w:rsidRPr="005E411B">
        <w:rPr>
          <w:rFonts w:ascii="Arial" w:eastAsia="Times New Roman" w:hAnsi="Arial" w:cs="Arial"/>
          <w:color w:val="2B2B2B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(1.6 МПа)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Тип привода: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автоматический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Исполнение: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с ручным подрывом — 17с6нж, без ручного подрыва — 17с7нж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Страна изготовитель: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РФ</w:t>
      </w:r>
    </w:p>
    <w:p w:rsidR="005E411B" w:rsidRPr="005E411B" w:rsidRDefault="005E411B" w:rsidP="005E411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1. Назначение и технические данные.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 xml:space="preserve">Клапаны предохранительные пружинные 17с6нж и 17с7нж предназначены для защиты оборудования от недопустимого давления посредством сброса избытка рабочей среды, обеспечивают прекращение сброса при давлении закрытия и восстановление рабочего давления. Рабочая среда — жидкая и газообразная, скорость </w:t>
      </w:r>
      <w:proofErr w:type="gramStart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коррозии</w:t>
      </w:r>
      <w:proofErr w:type="gramEnd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в которых материала корпуса не более 0,1 мм/год. Клапаны 17с6нж и 17с7нж обеспечивают указанную в паспорте герметичность в затворе при давлении настройки (</w:t>
      </w:r>
      <w:proofErr w:type="spellStart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Рн</w:t>
      </w:r>
      <w:proofErr w:type="spellEnd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), указанном в паспорте. Клапаны отрегулированы таким образом, чтобы давление полного открытия (</w:t>
      </w:r>
      <w:proofErr w:type="spellStart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Рп.о</w:t>
      </w:r>
      <w:proofErr w:type="spellEnd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.) не должно превышать значений: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proofErr w:type="spellStart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Рн</w:t>
      </w:r>
      <w:proofErr w:type="spellEnd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+ 0,5 кгс/см</w:t>
      </w:r>
      <w:proofErr w:type="gramStart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</w:t>
      </w:r>
      <w:proofErr w:type="gramEnd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— для давлений от 0,5 до 3 кгс/см2;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 xml:space="preserve">1,15 </w:t>
      </w:r>
      <w:proofErr w:type="spellStart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Рн</w:t>
      </w:r>
      <w:proofErr w:type="spellEnd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— для давлений свыше 3 кгс/см2 до 60 кгс/см2;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 xml:space="preserve">1,1 </w:t>
      </w:r>
      <w:proofErr w:type="spellStart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Рн</w:t>
      </w:r>
      <w:proofErr w:type="spellEnd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— для давлений свыше 60 кгс/см2.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Расчет пропускной способности клапанов предохранительных 17с6нж и 17с7нж по ГОСТ 12.2.085-82.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Клапаны типа СППКР 17с6нж имеют устройство для принудительного открытия с целью проверки его исправного действия. Клапаны типа СППКР 17с7нж не имеют устройство для принудительного открытия. Клапаны 17с6нж (17с7нж) герметичные по отношению к внешней среде. Пробные и рабочие давления по ГОСТ 356.</w:t>
      </w:r>
    </w:p>
    <w:p w:rsidR="005E411B" w:rsidRPr="005E411B" w:rsidRDefault="005E411B" w:rsidP="005E411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2. Состав, устройство и работа.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Состав 17с6нж (17с7нж) представлен на рисунке.</w:t>
      </w:r>
    </w:p>
    <w:p w:rsidR="005E411B" w:rsidRPr="005E411B" w:rsidRDefault="005E411B" w:rsidP="005E41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E411B">
        <w:rPr>
          <w:rFonts w:ascii="Arial" w:eastAsia="Times New Roman" w:hAnsi="Arial" w:cs="Arial"/>
          <w:noProof/>
          <w:color w:val="2B2B2B"/>
          <w:sz w:val="20"/>
          <w:szCs w:val="20"/>
          <w:lang w:eastAsia="ru-RU"/>
        </w:rPr>
        <w:lastRenderedPageBreak/>
        <w:drawing>
          <wp:inline distT="0" distB="0" distL="0" distR="0" wp14:anchorId="292639C5" wp14:editId="3A82FFE0">
            <wp:extent cx="5715000" cy="5953125"/>
            <wp:effectExtent l="0" t="0" r="0" b="9525"/>
            <wp:docPr id="2" name="Рисунок 2" descr="http://zadvizhka.by/wp-content/uploads/17%D1%816%D0%BD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dvizhka.by/wp-content/uploads/17%D1%816%D0%BD%D0%B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11B" w:rsidRPr="005E411B" w:rsidRDefault="005E411B" w:rsidP="005E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В общем случае клапан 17с6нж (17с7нж) состоит из следующих основных узлов и деталей: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— корпус 1, крышка 13;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— втулка 31, перегородка 10, шток 14;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— затвор, состоящий из седла 2 и золотника 8 с кольцами 3, 6;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— пружина 28 с опорами 12;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— устройство для принудительного открытия для клапанов СППКР, состоящее из колпака 20, валика 24, кулачка 23, шпонки 25 и рычага, установленного на валике.</w:t>
      </w:r>
    </w:p>
    <w:p w:rsidR="005E411B" w:rsidRPr="005E411B" w:rsidRDefault="005E411B" w:rsidP="005E411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3. Принцип действия.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 xml:space="preserve">При повышении давления среды перед клапаном 17с6нж (17с7нж) до давления сверх установленного золотник 8 перемещается вверх, </w:t>
      </w:r>
      <w:proofErr w:type="gramStart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сжимая пружину 28 и открывает проходное сечение</w:t>
      </w:r>
      <w:proofErr w:type="gramEnd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клапана. Происходит сброс среды. При понижении давления перед клапаном до давления закрытия </w:t>
      </w:r>
      <w:proofErr w:type="spellStart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Рз</w:t>
      </w:r>
      <w:proofErr w:type="spellEnd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золотник 8 под действием усилия пружины закрывает проходное </w:t>
      </w:r>
      <w:proofErr w:type="gramStart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сечение</w:t>
      </w:r>
      <w:proofErr w:type="gramEnd"/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и сброс среды</w:t>
      </w:r>
      <w:r w:rsidRPr="005E411B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прекращается.</w:t>
      </w:r>
    </w:p>
    <w:p w:rsidR="005E411B" w:rsidRPr="005E411B" w:rsidRDefault="005E411B" w:rsidP="005E411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4. Основные технические данные и характеристики.</w:t>
      </w:r>
    </w:p>
    <w:tbl>
      <w:tblPr>
        <w:tblW w:w="12255" w:type="dxa"/>
        <w:tblCellSpacing w:w="1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191"/>
        <w:gridCol w:w="1134"/>
        <w:gridCol w:w="1276"/>
        <w:gridCol w:w="1276"/>
        <w:gridCol w:w="1134"/>
        <w:gridCol w:w="850"/>
        <w:gridCol w:w="851"/>
        <w:gridCol w:w="3169"/>
      </w:tblGrid>
      <w:tr w:rsidR="005E411B" w:rsidRPr="005E411B" w:rsidTr="005E411B">
        <w:trPr>
          <w:trHeight w:val="225"/>
          <w:tblCellSpacing w:w="15" w:type="dxa"/>
        </w:trPr>
        <w:tc>
          <w:tcPr>
            <w:tcW w:w="1329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6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Ду</w:t>
            </w:r>
            <w:proofErr w:type="spellEnd"/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вход, мм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PN вход, кгс/см</w:t>
            </w:r>
            <w:proofErr w:type="gramStart"/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Ду</w:t>
            </w:r>
            <w:proofErr w:type="spellEnd"/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выход, мм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PN выход, кгс/см</w:t>
            </w:r>
            <w:proofErr w:type="gramStart"/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H, мм</w:t>
            </w:r>
          </w:p>
        </w:tc>
        <w:tc>
          <w:tcPr>
            <w:tcW w:w="8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L, мм</w:t>
            </w:r>
          </w:p>
        </w:tc>
        <w:tc>
          <w:tcPr>
            <w:tcW w:w="8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L1, мм</w:t>
            </w:r>
          </w:p>
        </w:tc>
        <w:tc>
          <w:tcPr>
            <w:tcW w:w="312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кг</w:t>
            </w:r>
            <w:proofErr w:type="gramEnd"/>
          </w:p>
        </w:tc>
      </w:tr>
      <w:tr w:rsidR="005E411B" w:rsidRPr="005E411B" w:rsidTr="005E411B">
        <w:trPr>
          <w:trHeight w:val="225"/>
          <w:tblCellSpacing w:w="15" w:type="dxa"/>
        </w:trPr>
        <w:tc>
          <w:tcPr>
            <w:tcW w:w="1329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17с6нж</w:t>
            </w:r>
          </w:p>
        </w:tc>
        <w:tc>
          <w:tcPr>
            <w:tcW w:w="116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8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8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312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</w:t>
            </w:r>
          </w:p>
        </w:tc>
      </w:tr>
      <w:tr w:rsidR="005E411B" w:rsidRPr="005E411B" w:rsidTr="005E411B">
        <w:trPr>
          <w:trHeight w:val="225"/>
          <w:tblCellSpacing w:w="15" w:type="dxa"/>
        </w:trPr>
        <w:tc>
          <w:tcPr>
            <w:tcW w:w="1329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17с7нж</w:t>
            </w:r>
          </w:p>
        </w:tc>
        <w:tc>
          <w:tcPr>
            <w:tcW w:w="116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8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8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312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</w:tr>
      <w:tr w:rsidR="005E411B" w:rsidRPr="005E411B" w:rsidTr="005E411B">
        <w:trPr>
          <w:trHeight w:val="225"/>
          <w:tblCellSpacing w:w="15" w:type="dxa"/>
        </w:trPr>
        <w:tc>
          <w:tcPr>
            <w:tcW w:w="1329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17с6нж</w:t>
            </w:r>
          </w:p>
        </w:tc>
        <w:tc>
          <w:tcPr>
            <w:tcW w:w="116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8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312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</w:tr>
      <w:tr w:rsidR="005E411B" w:rsidRPr="005E411B" w:rsidTr="005E411B">
        <w:trPr>
          <w:trHeight w:val="225"/>
          <w:tblCellSpacing w:w="15" w:type="dxa"/>
        </w:trPr>
        <w:tc>
          <w:tcPr>
            <w:tcW w:w="1329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17с7нж</w:t>
            </w:r>
          </w:p>
        </w:tc>
        <w:tc>
          <w:tcPr>
            <w:tcW w:w="116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312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</w:t>
            </w:r>
          </w:p>
        </w:tc>
      </w:tr>
      <w:tr w:rsidR="005E411B" w:rsidRPr="005E411B" w:rsidTr="005E411B">
        <w:trPr>
          <w:trHeight w:val="225"/>
          <w:tblCellSpacing w:w="15" w:type="dxa"/>
        </w:trPr>
        <w:tc>
          <w:tcPr>
            <w:tcW w:w="1329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17с6нж</w:t>
            </w:r>
          </w:p>
        </w:tc>
        <w:tc>
          <w:tcPr>
            <w:tcW w:w="116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8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8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12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</w:t>
            </w:r>
          </w:p>
        </w:tc>
      </w:tr>
      <w:tr w:rsidR="005E411B" w:rsidRPr="005E411B" w:rsidTr="005E411B">
        <w:trPr>
          <w:trHeight w:val="225"/>
          <w:tblCellSpacing w:w="15" w:type="dxa"/>
        </w:trPr>
        <w:tc>
          <w:tcPr>
            <w:tcW w:w="1329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17с7нж</w:t>
            </w:r>
          </w:p>
        </w:tc>
        <w:tc>
          <w:tcPr>
            <w:tcW w:w="116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8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8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12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</w:tr>
      <w:tr w:rsidR="005E411B" w:rsidRPr="005E411B" w:rsidTr="005E411B">
        <w:trPr>
          <w:trHeight w:val="225"/>
          <w:tblCellSpacing w:w="15" w:type="dxa"/>
        </w:trPr>
        <w:tc>
          <w:tcPr>
            <w:tcW w:w="1329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17с6нж</w:t>
            </w:r>
          </w:p>
        </w:tc>
        <w:tc>
          <w:tcPr>
            <w:tcW w:w="116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8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8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312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</w:t>
            </w:r>
          </w:p>
        </w:tc>
      </w:tr>
      <w:tr w:rsidR="005E411B" w:rsidRPr="005E411B" w:rsidTr="005E411B">
        <w:trPr>
          <w:trHeight w:val="225"/>
          <w:tblCellSpacing w:w="15" w:type="dxa"/>
        </w:trPr>
        <w:tc>
          <w:tcPr>
            <w:tcW w:w="1329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17с7нж</w:t>
            </w:r>
          </w:p>
        </w:tc>
        <w:tc>
          <w:tcPr>
            <w:tcW w:w="116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8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3124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</w:t>
            </w:r>
          </w:p>
        </w:tc>
      </w:tr>
    </w:tbl>
    <w:p w:rsidR="005E411B" w:rsidRPr="005E411B" w:rsidRDefault="005E411B" w:rsidP="005E411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E411B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5. Применение пружин по давлениям настройки клапана.</w:t>
      </w:r>
    </w:p>
    <w:tbl>
      <w:tblPr>
        <w:tblW w:w="12255" w:type="dxa"/>
        <w:tblCellSpacing w:w="1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3280"/>
        <w:gridCol w:w="3216"/>
        <w:gridCol w:w="2891"/>
      </w:tblGrid>
      <w:tr w:rsidR="005E411B" w:rsidRPr="005E411B" w:rsidTr="005E411B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Диаметр проточной части седла d, мм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Пределы давлений настройки PN, кгс/см</w:t>
            </w:r>
            <w:proofErr w:type="gramStart"/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пружины</w:t>
            </w:r>
          </w:p>
        </w:tc>
      </w:tr>
      <w:tr w:rsidR="005E411B" w:rsidRPr="005E411B" w:rsidTr="005E411B">
        <w:trPr>
          <w:trHeight w:val="225"/>
          <w:tblCellSpacing w:w="15" w:type="dxa"/>
        </w:trPr>
        <w:tc>
          <w:tcPr>
            <w:tcW w:w="1050" w:type="dxa"/>
            <w:vMerge w:val="restart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17с6нж (17с7нж) Ду50</w:t>
            </w:r>
          </w:p>
        </w:tc>
        <w:tc>
          <w:tcPr>
            <w:tcW w:w="1050" w:type="dxa"/>
            <w:vMerge w:val="restart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0,5…1,2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10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1,2…2,5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11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2,5…4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12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4…8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13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8…16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14</w:t>
            </w:r>
          </w:p>
        </w:tc>
      </w:tr>
      <w:tr w:rsidR="005E411B" w:rsidRPr="005E411B" w:rsidTr="005E411B">
        <w:trPr>
          <w:trHeight w:val="225"/>
          <w:tblCellSpacing w:w="15" w:type="dxa"/>
        </w:trPr>
        <w:tc>
          <w:tcPr>
            <w:tcW w:w="1050" w:type="dxa"/>
            <w:vMerge w:val="restart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17с6нж (17с7нж) Ду80</w:t>
            </w:r>
          </w:p>
        </w:tc>
        <w:tc>
          <w:tcPr>
            <w:tcW w:w="1050" w:type="dxa"/>
            <w:vMerge w:val="restart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0,5…1,2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30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1,2…3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31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3…5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32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5…8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33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8…16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34</w:t>
            </w:r>
          </w:p>
        </w:tc>
      </w:tr>
      <w:tr w:rsidR="005E411B" w:rsidRPr="005E411B" w:rsidTr="005E411B">
        <w:trPr>
          <w:trHeight w:val="225"/>
          <w:tblCellSpacing w:w="15" w:type="dxa"/>
        </w:trPr>
        <w:tc>
          <w:tcPr>
            <w:tcW w:w="1050" w:type="dxa"/>
            <w:vMerge w:val="restart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17с6нж (17с7нж) Ду100</w:t>
            </w:r>
          </w:p>
        </w:tc>
        <w:tc>
          <w:tcPr>
            <w:tcW w:w="1050" w:type="dxa"/>
            <w:vMerge w:val="restart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0,5…1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50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0,8…1,6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51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1,5…3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52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2,5…4,5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53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4,5…8,5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54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8…16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55</w:t>
            </w:r>
          </w:p>
        </w:tc>
      </w:tr>
      <w:tr w:rsidR="005E411B" w:rsidRPr="005E411B" w:rsidTr="005E411B">
        <w:trPr>
          <w:trHeight w:val="225"/>
          <w:tblCellSpacing w:w="15" w:type="dxa"/>
        </w:trPr>
        <w:tc>
          <w:tcPr>
            <w:tcW w:w="1050" w:type="dxa"/>
            <w:vMerge w:val="restart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17с6нж (17с7нж) Ду150</w:t>
            </w:r>
          </w:p>
        </w:tc>
        <w:tc>
          <w:tcPr>
            <w:tcW w:w="1050" w:type="dxa"/>
            <w:vMerge w:val="restart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0,5…1,5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70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1,5…3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71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3…5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72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5…8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73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8…12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74</w:t>
            </w:r>
          </w:p>
        </w:tc>
      </w:tr>
      <w:tr w:rsidR="005E411B" w:rsidRPr="005E411B" w:rsidTr="005E411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12…16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1B" w:rsidRPr="005E411B" w:rsidRDefault="005E411B" w:rsidP="005E4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5E411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75</w:t>
            </w:r>
          </w:p>
        </w:tc>
      </w:tr>
    </w:tbl>
    <w:p w:rsidR="00483C17" w:rsidRDefault="00483C17"/>
    <w:sectPr w:rsidR="00483C17" w:rsidSect="005E4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1B"/>
    <w:rsid w:val="00483C17"/>
    <w:rsid w:val="005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490">
          <w:marLeft w:val="0"/>
          <w:marRight w:val="0"/>
          <w:marTop w:val="0"/>
          <w:marBottom w:val="0"/>
          <w:divBdr>
            <w:top w:val="single" w:sz="2" w:space="0" w:color="BDBDBD"/>
            <w:left w:val="single" w:sz="2" w:space="0" w:color="BDBDBD"/>
            <w:bottom w:val="single" w:sz="2" w:space="0" w:color="BDBDBD"/>
            <w:right w:val="single" w:sz="2" w:space="0" w:color="BDBDBD"/>
          </w:divBdr>
        </w:div>
        <w:div w:id="901524624">
          <w:marLeft w:val="0"/>
          <w:marRight w:val="0"/>
          <w:marTop w:val="150"/>
          <w:marBottom w:val="150"/>
          <w:divBdr>
            <w:top w:val="single" w:sz="6" w:space="11" w:color="BDBDBD"/>
            <w:left w:val="single" w:sz="6" w:space="19" w:color="BDBDBD"/>
            <w:bottom w:val="single" w:sz="6" w:space="4" w:color="BDBDBD"/>
            <w:right w:val="single" w:sz="6" w:space="13" w:color="BDBDB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2016-09-14T13:57:00Z</dcterms:created>
  <dcterms:modified xsi:type="dcterms:W3CDTF">2016-09-14T13:59:00Z</dcterms:modified>
</cp:coreProperties>
</file>